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EAC97" w14:textId="77777777" w:rsidR="001E2EAD" w:rsidRDefault="00AE447E">
      <w:pPr>
        <w:pStyle w:val="Standard1"/>
      </w:pPr>
      <w:r w:rsidRPr="00AE447E">
        <w:rPr>
          <w:b/>
          <w:bCs/>
        </w:rPr>
        <w:t>Leitlinien für Stolpertexte</w:t>
      </w:r>
    </w:p>
    <w:p w14:paraId="2986FA4D" w14:textId="77777777" w:rsidR="00AE447E" w:rsidRDefault="00AE447E">
      <w:pPr>
        <w:pStyle w:val="berschrift1"/>
        <w:rPr>
          <w:rFonts w:asciiTheme="minorHAnsi" w:hAnsiTheme="minorHAnsi" w:cstheme="minorBidi"/>
          <w:lang w:eastAsia="de-DE"/>
        </w:rPr>
      </w:pPr>
      <w:r>
        <w:rPr>
          <w:rFonts w:asciiTheme="minorHAnsi" w:hAnsiTheme="minorHAnsi" w:cstheme="minorBidi"/>
        </w:rPr>
        <w:t>1. Inhaltliche Vorgaben</w:t>
      </w:r>
    </w:p>
    <w:p w14:paraId="557184EC" w14:textId="77777777" w:rsidR="00AE447E" w:rsidRDefault="00AE447E" w:rsidP="00AE447E">
      <w:pPr>
        <w:pStyle w:val="Listenabsatz"/>
        <w:numPr>
          <w:ilvl w:val="0"/>
          <w:numId w:val="4"/>
        </w:numPr>
        <w:rPr>
          <w:lang w:eastAsia="de-DE"/>
        </w:rPr>
      </w:pPr>
      <w:r>
        <w:t>Die Stolpertexte sollen keine historischen Berichte und keine ausführlichen biografischen Nacherzählungen sein. Gewünscht sind literarische, subjektive Reflexionen von hoher sprachlicher Qualität.</w:t>
      </w:r>
    </w:p>
    <w:p w14:paraId="09239F1C" w14:textId="77777777" w:rsidR="00CC3B35" w:rsidRDefault="00AE447E" w:rsidP="00AE447E">
      <w:pPr>
        <w:pStyle w:val="Listenabsatz"/>
        <w:numPr>
          <w:ilvl w:val="0"/>
          <w:numId w:val="4"/>
        </w:numPr>
      </w:pPr>
      <w:r>
        <w:t>Im Mittelpunkt steht die Begegnung zwischen Autor*in und Quellen: Die eigene Perspektive, Irritationen, Fragen und Resonanzen dürfen und sollen sichtbar werden.</w:t>
      </w:r>
    </w:p>
    <w:p w14:paraId="49856678" w14:textId="49597D2A" w:rsidR="00B7799F" w:rsidRDefault="00B7799F" w:rsidP="00CC3B35">
      <w:pPr>
        <w:pStyle w:val="Listenabsatz"/>
        <w:numPr>
          <w:ilvl w:val="1"/>
          <w:numId w:val="4"/>
        </w:numPr>
      </w:pPr>
      <w:r>
        <w:t>Dieses Verhältnis kann etwa über Formen der Identifikation oder Distanzierung, über Fragen von Überlieferung und Abwesenheit, über materielle und immaterielle Spuren oder über Resonanzen und Diskrepanzen zwischen historischen und gegenwärtigen Problemstellungen entwickelt werden</w:t>
      </w:r>
    </w:p>
    <w:p w14:paraId="0CBE78B0" w14:textId="77777777" w:rsidR="00CC3B35" w:rsidRDefault="00AE447E" w:rsidP="00AE447E">
      <w:pPr>
        <w:pStyle w:val="Listenabsatz"/>
        <w:numPr>
          <w:ilvl w:val="0"/>
          <w:numId w:val="4"/>
        </w:numPr>
      </w:pPr>
      <w:r>
        <w:t xml:space="preserve">Von besonderem Interesse sind drei Ebenen: </w:t>
      </w:r>
    </w:p>
    <w:p w14:paraId="6CC658DE" w14:textId="77777777" w:rsidR="00CC3B35" w:rsidRDefault="00AE447E" w:rsidP="00CC3B35">
      <w:pPr>
        <w:pStyle w:val="Listenabsatz"/>
        <w:numPr>
          <w:ilvl w:val="1"/>
          <w:numId w:val="4"/>
        </w:numPr>
      </w:pPr>
      <w:r>
        <w:t xml:space="preserve">der Bezug zu realen Quellen und historischen Personen aus dem Archiv des Leo Baeck Instituts, </w:t>
      </w:r>
    </w:p>
    <w:p w14:paraId="5623B2C0" w14:textId="77777777" w:rsidR="00CC3B35" w:rsidRDefault="00AE447E" w:rsidP="00CC3B35">
      <w:pPr>
        <w:pStyle w:val="Listenabsatz"/>
        <w:numPr>
          <w:ilvl w:val="1"/>
          <w:numId w:val="4"/>
        </w:numPr>
      </w:pPr>
      <w:r>
        <w:t xml:space="preserve">die subjektive Reflexion über diese Quellen und Lebenserfahrungen sowie </w:t>
      </w:r>
    </w:p>
    <w:p w14:paraId="06372321" w14:textId="104C31EB" w:rsidR="00AE447E" w:rsidRDefault="00AE447E" w:rsidP="00CC3B35">
      <w:pPr>
        <w:pStyle w:val="Listenabsatz"/>
        <w:numPr>
          <w:ilvl w:val="1"/>
          <w:numId w:val="4"/>
        </w:numPr>
      </w:pPr>
      <w:r>
        <w:t>das Verhältnis zwischen geschilderter Vergangenheit und heutiger Gegenwart.</w:t>
      </w:r>
    </w:p>
    <w:p w14:paraId="0C4B4C95" w14:textId="77777777" w:rsidR="00AE447E" w:rsidRDefault="00AE447E" w:rsidP="00AE447E">
      <w:pPr>
        <w:pStyle w:val="Listenabsatz"/>
        <w:numPr>
          <w:ilvl w:val="0"/>
          <w:numId w:val="4"/>
        </w:numPr>
      </w:pPr>
      <w:r>
        <w:t>Quellennähe bleibt wichtig, jedoch als Ausgangspunkt literarischer Auseinandersetzung und nicht als Einschränkung der Gestaltung.</w:t>
      </w:r>
    </w:p>
    <w:p w14:paraId="3FC5AE52" w14:textId="4EC45564" w:rsidR="00AE447E" w:rsidRDefault="00AE447E" w:rsidP="00AE447E">
      <w:pPr>
        <w:pStyle w:val="Listenabsatz"/>
        <w:numPr>
          <w:ilvl w:val="0"/>
          <w:numId w:val="4"/>
        </w:numPr>
      </w:pPr>
      <w:r>
        <w:t xml:space="preserve">Der Fokus muss nicht zwingend auf Verfolgung, Antisemitismus oder Diskriminierung in den Jahren 1933 bis 1945 liegen. Das Archiv des Leo Baeck Instituts dokumentiert jüdisches Leben über mehrere Jahrhunderte hinweg, vor 1933 ebenso wie nach 1945. Gleichwohl </w:t>
      </w:r>
      <w:r w:rsidR="00C61B40">
        <w:t>bietet</w:t>
      </w:r>
      <w:r>
        <w:t xml:space="preserve"> die Tatsache, dass viele dieser Zeugnisse deutsch-jüdischen Lebens heute in New York aufbewahrt werden</w:t>
      </w:r>
      <w:r w:rsidR="005C1DA5">
        <w:t xml:space="preserve"> und deren zugrundeliegenden Ursachen</w:t>
      </w:r>
      <w:r>
        <w:t>, einen Bezug zu Erinnerungskultur und historischer Verdrängung eröffnen.</w:t>
      </w:r>
    </w:p>
    <w:p w14:paraId="0F836D1E" w14:textId="77777777" w:rsidR="00AE447E" w:rsidRDefault="00AE447E">
      <w:pPr>
        <w:pStyle w:val="berschrift1"/>
        <w:rPr>
          <w:rFonts w:asciiTheme="minorHAnsi" w:hAnsiTheme="minorHAnsi" w:cstheme="minorBidi"/>
          <w:lang w:eastAsia="de-DE"/>
        </w:rPr>
      </w:pPr>
      <w:r>
        <w:rPr>
          <w:rFonts w:asciiTheme="minorHAnsi" w:hAnsiTheme="minorHAnsi" w:cstheme="minorBidi"/>
        </w:rPr>
        <w:t>2. Herangehensweisen</w:t>
      </w:r>
    </w:p>
    <w:p w14:paraId="3B2FF752" w14:textId="77777777" w:rsidR="00AE447E" w:rsidRDefault="00AE447E" w:rsidP="00AE447E">
      <w:pPr>
        <w:pStyle w:val="Listenabsatz"/>
        <w:numPr>
          <w:ilvl w:val="0"/>
          <w:numId w:val="5"/>
        </w:numPr>
        <w:rPr>
          <w:lang w:eastAsia="de-DE"/>
        </w:rPr>
      </w:pPr>
      <w:r>
        <w:t>Kreativität ist ausdrücklich erwünscht. Fiktionalisierte Elemente sind möglich, müssen jedoch transparent gemacht und für die Leser*innen erkennbar sein.</w:t>
      </w:r>
    </w:p>
    <w:p w14:paraId="3A2FE12D" w14:textId="77777777" w:rsidR="00AE447E" w:rsidRDefault="00AE447E" w:rsidP="00AE447E">
      <w:pPr>
        <w:pStyle w:val="Listenabsatz"/>
        <w:numPr>
          <w:ilvl w:val="0"/>
          <w:numId w:val="5"/>
        </w:numPr>
      </w:pPr>
      <w:r>
        <w:t>Fiktionale Passagen können beispielsweise als Vorstellungen, Spekulationen oder innere Annäherungen des Schreibenden formuliert werden. Alternativ kann eine kurze vorangestellte Erklärung deutlich machen, auf welchen realen Quellen oder Personen die fiktionale Gestaltung basiert.</w:t>
      </w:r>
    </w:p>
    <w:p w14:paraId="59DE5F3A" w14:textId="04973202" w:rsidR="00AE447E" w:rsidRDefault="00AE447E" w:rsidP="00AE447E">
      <w:pPr>
        <w:pStyle w:val="Listenabsatz"/>
        <w:numPr>
          <w:ilvl w:val="0"/>
          <w:numId w:val="5"/>
        </w:numPr>
      </w:pPr>
      <w:r>
        <w:t>Der Umgang mit Quellen und historischen Personen soll respektvoll bleiben.</w:t>
      </w:r>
      <w:r w:rsidR="00280DB7">
        <w:t xml:space="preserve"> Er erfordert Sensibilität gegenüber </w:t>
      </w:r>
      <w:r w:rsidR="00061B5F">
        <w:t>teils traumatischen</w:t>
      </w:r>
      <w:r w:rsidR="00280DB7">
        <w:t xml:space="preserve"> </w:t>
      </w:r>
      <w:r w:rsidR="00061B5F">
        <w:t>Erlebnissen</w:t>
      </w:r>
      <w:r w:rsidR="00280DB7">
        <w:t>,</w:t>
      </w:r>
      <w:r w:rsidR="00061B5F">
        <w:t xml:space="preserve"> biografischen</w:t>
      </w:r>
      <w:r w:rsidR="00280DB7">
        <w:t xml:space="preserve"> Leerstellen und Machtasymmetrien der Überlieferung</w:t>
      </w:r>
      <w:r w:rsidR="00061B5F">
        <w:t>.</w:t>
      </w:r>
      <w:r>
        <w:t xml:space="preserve"> Ziel ist jedoch nicht die </w:t>
      </w:r>
      <w:r>
        <w:lastRenderedPageBreak/>
        <w:t>Errichtung literarischer Denkmäler für Held*innen oder Märtyrer*innen, sondern eine reflektierte literarische Auseinandersetzung mit menschlichen Erfahrungen.</w:t>
      </w:r>
      <w:r w:rsidR="002D0A6F">
        <w:t xml:space="preserve"> </w:t>
      </w:r>
    </w:p>
    <w:p w14:paraId="42F812C8" w14:textId="77777777" w:rsidR="00AE447E" w:rsidRDefault="00AE447E" w:rsidP="00AE447E">
      <w:pPr>
        <w:pStyle w:val="Listenabsatz"/>
        <w:numPr>
          <w:ilvl w:val="0"/>
          <w:numId w:val="5"/>
        </w:numPr>
      </w:pPr>
      <w:r>
        <w:t>Kontaktaufnahmen mit möglichen Nachfahr*innen, wissenschaftlichen Expert*innen oder anderen Auskunftspersonen sind möglich, aber nicht erforderlich.</w:t>
      </w:r>
    </w:p>
    <w:p w14:paraId="41F54CE9" w14:textId="77777777" w:rsidR="00AE447E" w:rsidRDefault="00AE447E" w:rsidP="00AE447E">
      <w:pPr>
        <w:pStyle w:val="Listenabsatz"/>
        <w:numPr>
          <w:ilvl w:val="0"/>
          <w:numId w:val="5"/>
        </w:numPr>
      </w:pPr>
      <w:r>
        <w:t>Bei der Auswahl der Abstracts achtet das Kuratorium auf regionale, demografische und thematische Vielfalt der historischen Subjekte. Besonderes Gewicht erhält außerdem die Kreativität der vorgeschlagenen Herangehensweise.</w:t>
      </w:r>
    </w:p>
    <w:p w14:paraId="689AB6F8" w14:textId="53F68BE6" w:rsidR="00F93814" w:rsidRDefault="00AE447E">
      <w:pPr>
        <w:pStyle w:val="berschrift1"/>
        <w:rPr>
          <w:rFonts w:asciiTheme="minorHAnsi" w:hAnsiTheme="minorHAnsi" w:cstheme="minorBidi"/>
        </w:rPr>
      </w:pPr>
      <w:r>
        <w:rPr>
          <w:rFonts w:asciiTheme="minorHAnsi" w:hAnsiTheme="minorHAnsi" w:cstheme="minorBidi"/>
        </w:rPr>
        <w:t xml:space="preserve">3. </w:t>
      </w:r>
      <w:r w:rsidR="00F93814">
        <w:rPr>
          <w:rFonts w:asciiTheme="minorHAnsi" w:hAnsiTheme="minorHAnsi" w:cstheme="minorBidi"/>
        </w:rPr>
        <w:t>Vorgaben zu den Abstracts</w:t>
      </w:r>
    </w:p>
    <w:p w14:paraId="3EA4BA6F" w14:textId="1BAFA578" w:rsidR="005C7591" w:rsidRPr="00245BAA" w:rsidRDefault="000227F8" w:rsidP="005C7591">
      <w:pPr>
        <w:numPr>
          <w:ilvl w:val="0"/>
          <w:numId w:val="7"/>
        </w:numPr>
      </w:pPr>
      <w:r>
        <w:t>Zur Erstellung der Abstracts wird e</w:t>
      </w:r>
      <w:r w:rsidR="005C7591" w:rsidRPr="00245BAA">
        <w:t xml:space="preserve">ine Liste von </w:t>
      </w:r>
      <w:r w:rsidR="005C7591" w:rsidRPr="00245BAA">
        <w:rPr>
          <w:b/>
          <w:bCs/>
        </w:rPr>
        <w:t>ca. 50 Sammlungen</w:t>
      </w:r>
      <w:r w:rsidR="005C7591" w:rsidRPr="00245BAA">
        <w:t xml:space="preserve"> bereitgestellt.</w:t>
      </w:r>
    </w:p>
    <w:p w14:paraId="509115A8" w14:textId="0CEA4C92" w:rsidR="005C7591" w:rsidRDefault="005C7591" w:rsidP="005C7591">
      <w:pPr>
        <w:numPr>
          <w:ilvl w:val="0"/>
          <w:numId w:val="7"/>
        </w:numPr>
      </w:pPr>
      <w:r w:rsidRPr="00245BAA">
        <w:t>Sie dient als Grundlage für die</w:t>
      </w:r>
      <w:r w:rsidR="000227F8">
        <w:t xml:space="preserve"> Einreichung von</w:t>
      </w:r>
      <w:r w:rsidRPr="00245BAA">
        <w:t xml:space="preserve"> 200-Wort-Abstracts</w:t>
      </w:r>
      <w:r w:rsidR="000227F8">
        <w:t xml:space="preserve">, in </w:t>
      </w:r>
      <w:r w:rsidR="00CD0B6E">
        <w:t>denen</w:t>
      </w:r>
      <w:r w:rsidR="000227F8">
        <w:t xml:space="preserve"> die Autor*innen ihre Herangehensweise und </w:t>
      </w:r>
      <w:r w:rsidR="00CD0B6E">
        <w:t>Ideen zum Verfassen eines Stolpertextes erläutern sollen</w:t>
      </w:r>
      <w:r w:rsidR="0015262E">
        <w:t xml:space="preserve">. </w:t>
      </w:r>
      <w:r w:rsidR="009968BB">
        <w:t>Denkbar ist auch das Einreichen eines erster Entwurfs eines Stolpertextes.</w:t>
      </w:r>
    </w:p>
    <w:p w14:paraId="3B477C2F" w14:textId="4DE4339F" w:rsidR="0015262E" w:rsidRDefault="005C7591" w:rsidP="0015262E">
      <w:pPr>
        <w:numPr>
          <w:ilvl w:val="0"/>
          <w:numId w:val="7"/>
        </w:numPr>
      </w:pPr>
      <w:r>
        <w:t>Die Autor*innen dürfen auch andere Sammlungen selbst recherchieren und wählen.</w:t>
      </w:r>
    </w:p>
    <w:p w14:paraId="47EF9DE7" w14:textId="425108D0" w:rsidR="00AA2347" w:rsidRDefault="00AA2347" w:rsidP="0015262E">
      <w:pPr>
        <w:numPr>
          <w:ilvl w:val="0"/>
          <w:numId w:val="7"/>
        </w:numPr>
      </w:pPr>
      <w:r>
        <w:t xml:space="preserve">Basierend auf den Abstracts wählen das </w:t>
      </w:r>
      <w:r>
        <w:t>Leo Baeck Institut in Abstimmung mit den Mitgliedern des Kuratoriums</w:t>
      </w:r>
      <w:r>
        <w:t xml:space="preserve"> zum Jahresende 2026 mehrere </w:t>
      </w:r>
      <w:proofErr w:type="spellStart"/>
      <w:r>
        <w:t>Autor:innen</w:t>
      </w:r>
      <w:proofErr w:type="spellEnd"/>
      <w:r>
        <w:t xml:space="preserve"> aus, die im Anschluss dazu aufgefordert werden, im Frühjahr 2027 Stolpertexte zu verfassen.</w:t>
      </w:r>
    </w:p>
    <w:p w14:paraId="0F47E3A5" w14:textId="1DF27A2B" w:rsidR="00AE447E" w:rsidRDefault="00F93814">
      <w:pPr>
        <w:pStyle w:val="berschrift1"/>
        <w:rPr>
          <w:rFonts w:asciiTheme="minorHAnsi" w:hAnsiTheme="minorHAnsi" w:cstheme="minorBidi"/>
          <w:lang w:eastAsia="de-DE"/>
        </w:rPr>
      </w:pPr>
      <w:r>
        <w:rPr>
          <w:rFonts w:asciiTheme="minorHAnsi" w:hAnsiTheme="minorHAnsi" w:cstheme="minorBidi"/>
        </w:rPr>
        <w:t>4. Formatangaben zu den Stolpertexten</w:t>
      </w:r>
    </w:p>
    <w:p w14:paraId="3E249927" w14:textId="77777777" w:rsidR="00AE447E" w:rsidRDefault="00AE447E" w:rsidP="00AE447E">
      <w:pPr>
        <w:pStyle w:val="Listenabsatz"/>
        <w:numPr>
          <w:ilvl w:val="0"/>
          <w:numId w:val="6"/>
        </w:numPr>
        <w:rPr>
          <w:lang w:eastAsia="de-DE"/>
        </w:rPr>
      </w:pPr>
      <w:r>
        <w:t>Für Zeitungen ist eine Länge von etwa 7.000 Zeichen inklusive Leerzeichen vorgesehen.</w:t>
      </w:r>
    </w:p>
    <w:p w14:paraId="1D145326" w14:textId="77777777" w:rsidR="00AE447E" w:rsidRDefault="00AE447E" w:rsidP="00AE447E">
      <w:pPr>
        <w:pStyle w:val="Listenabsatz"/>
        <w:numPr>
          <w:ilvl w:val="0"/>
          <w:numId w:val="6"/>
        </w:numPr>
      </w:pPr>
      <w:r>
        <w:t>Für die Langfassung ist eine Länge von etwa 13.000 bis 20.000 Zeichen inklusive Leerzeichen vorgesehen.</w:t>
      </w:r>
    </w:p>
    <w:p w14:paraId="6F1B1F13" w14:textId="14ABA72A" w:rsidR="005E7B4D" w:rsidRDefault="00AE447E" w:rsidP="005E7B4D">
      <w:pPr>
        <w:pStyle w:val="Listenabsatz"/>
        <w:numPr>
          <w:ilvl w:val="0"/>
          <w:numId w:val="6"/>
        </w:numPr>
      </w:pPr>
      <w:r>
        <w:t>Die genaue Länge kann je nach Material, literarischem Ansatz und Publikationskontext angepasst werden.</w:t>
      </w:r>
    </w:p>
    <w:p w14:paraId="33252BD0" w14:textId="6184418C" w:rsidR="001E2EAD" w:rsidRDefault="00000000" w:rsidP="0000169E">
      <w:pPr>
        <w:pStyle w:val="berschrift1"/>
        <w:rPr>
          <w:rFonts w:cstheme="minorBidi"/>
        </w:rPr>
      </w:pPr>
      <w:r w:rsidRPr="0000169E">
        <w:rPr>
          <w:rFonts w:ascii="Aptos" w:hAnsi="Aptos" w:cstheme="minorBidi"/>
        </w:rPr>
        <w:t>5. Veröffentlichung</w:t>
      </w:r>
      <w:r w:rsidR="00B65C27">
        <w:rPr>
          <w:rFonts w:ascii="Aptos" w:hAnsi="Aptos" w:cstheme="minorBidi"/>
        </w:rPr>
        <w:t xml:space="preserve"> der Stolpertexte</w:t>
      </w:r>
    </w:p>
    <w:p w14:paraId="09CD342A" w14:textId="77777777" w:rsidR="0000169E" w:rsidRDefault="0000169E" w:rsidP="0000169E">
      <w:pPr>
        <w:pStyle w:val="Standard2"/>
        <w:numPr>
          <w:ilvl w:val="0"/>
          <w:numId w:val="8"/>
        </w:numPr>
        <w:rPr>
          <w:rFonts w:cstheme="minorBidi"/>
        </w:rPr>
      </w:pPr>
      <w:r>
        <w:rPr>
          <w:rFonts w:cstheme="minorBidi"/>
        </w:rPr>
        <w:t>Die Kurzfassungen der Stolpertexte sollen zeitnah in Zeitungen und gegebenenfalls über begleitende digitale Kanäle veröffentlicht werden.</w:t>
      </w:r>
    </w:p>
    <w:p w14:paraId="3FA9DEF4" w14:textId="4B05AF3D" w:rsidR="0000169E" w:rsidRPr="00B65C27" w:rsidRDefault="0000169E" w:rsidP="0000169E">
      <w:pPr>
        <w:pStyle w:val="Standard2"/>
        <w:numPr>
          <w:ilvl w:val="0"/>
          <w:numId w:val="8"/>
        </w:numPr>
        <w:rPr>
          <w:rFonts w:cstheme="minorBidi"/>
        </w:rPr>
      </w:pPr>
      <w:r w:rsidRPr="00B65C27">
        <w:rPr>
          <w:rFonts w:cstheme="minorBidi"/>
        </w:rPr>
        <w:t xml:space="preserve">Die Langfassungen können online erscheinen. Darüber hinaus ist eine Veröffentlichung in einer alle zwei bis drei Jahre erscheinenden Anthologie </w:t>
      </w:r>
      <w:r w:rsidRPr="00B65C27">
        <w:rPr>
          <w:rFonts w:cstheme="minorBidi"/>
        </w:rPr>
        <w:lastRenderedPageBreak/>
        <w:t>ausdrücklich angestrebt.</w:t>
      </w:r>
      <w:r w:rsidR="00B65C27" w:rsidRPr="00B65C27">
        <w:rPr>
          <w:rFonts w:cstheme="minorBidi"/>
        </w:rPr>
        <w:t xml:space="preserve"> </w:t>
      </w:r>
      <w:r w:rsidRPr="00B65C27">
        <w:rPr>
          <w:rFonts w:cstheme="minorBidi"/>
        </w:rPr>
        <w:t xml:space="preserve">Auch dramaturgische Formen der Präsentation einzelner Texte sind grundsätzlich </w:t>
      </w:r>
      <w:r w:rsidR="00B65C27">
        <w:rPr>
          <w:rFonts w:cstheme="minorBidi"/>
        </w:rPr>
        <w:t>angedacht</w:t>
      </w:r>
      <w:r w:rsidRPr="00B65C27">
        <w:rPr>
          <w:rFonts w:cstheme="minorBidi"/>
        </w:rPr>
        <w:t>.</w:t>
      </w:r>
    </w:p>
    <w:p w14:paraId="72DB0862" w14:textId="17480F2A" w:rsidR="0000169E" w:rsidRDefault="0000169E" w:rsidP="0000169E">
      <w:pPr>
        <w:pStyle w:val="Standard2"/>
        <w:numPr>
          <w:ilvl w:val="0"/>
          <w:numId w:val="8"/>
        </w:numPr>
        <w:rPr>
          <w:rFonts w:cstheme="minorBidi"/>
        </w:rPr>
      </w:pPr>
      <w:r>
        <w:rPr>
          <w:rFonts w:cstheme="minorBidi"/>
        </w:rPr>
        <w:t xml:space="preserve">Die endgültige redaktionelle Entscheidung über Form, Zeitpunkt und Ort der Veröffentlichung liegt beim Leo Baeck Institut in Abstimmung mit den Mitgliedern des Kuratoriums. Eine Veröffentlichung aller Texte, insbesondere in Druckform, kann </w:t>
      </w:r>
      <w:r w:rsidR="00B65C27">
        <w:rPr>
          <w:rFonts w:cstheme="minorBidi"/>
        </w:rPr>
        <w:t xml:space="preserve">daher </w:t>
      </w:r>
      <w:r>
        <w:rPr>
          <w:rFonts w:cstheme="minorBidi"/>
        </w:rPr>
        <w:t>nicht garantiert werden.</w:t>
      </w:r>
    </w:p>
    <w:p w14:paraId="61C491A1" w14:textId="77777777" w:rsidR="0000169E" w:rsidRDefault="0000169E" w:rsidP="0000169E">
      <w:pPr>
        <w:pStyle w:val="Standard2"/>
        <w:numPr>
          <w:ilvl w:val="0"/>
          <w:numId w:val="9"/>
        </w:numPr>
        <w:rPr>
          <w:rFonts w:cstheme="minorBidi"/>
        </w:rPr>
      </w:pPr>
      <w:r>
        <w:rPr>
          <w:rFonts w:cstheme="minorBidi"/>
        </w:rPr>
        <w:t xml:space="preserve">Das Honorar für Autor*innen beträgt </w:t>
      </w:r>
      <w:r w:rsidRPr="00B65C27">
        <w:rPr>
          <w:rFonts w:cstheme="minorBidi"/>
        </w:rPr>
        <w:t>2.000 € für zwei Texte,</w:t>
      </w:r>
      <w:r>
        <w:rPr>
          <w:rFonts w:cstheme="minorBidi"/>
        </w:rPr>
        <w:t xml:space="preserve"> bestehend aus einer Kurzfassung und einer Langfassung.</w:t>
      </w:r>
    </w:p>
    <w:p w14:paraId="4D13B0C5" w14:textId="7072F252" w:rsidR="0000169E" w:rsidRDefault="0000169E" w:rsidP="0000169E">
      <w:pPr>
        <w:pStyle w:val="Standard2"/>
        <w:numPr>
          <w:ilvl w:val="0"/>
          <w:numId w:val="9"/>
        </w:numPr>
        <w:rPr>
          <w:rFonts w:cstheme="minorBidi"/>
        </w:rPr>
      </w:pPr>
      <w:r>
        <w:rPr>
          <w:rFonts w:cstheme="minorBidi"/>
        </w:rPr>
        <w:t>Die Nutzungsrechte sollen exklusiv, jedoch zeitlich befristet für etwa drei bis fünf Jahre, an das Leo Baeck Institut übertragen werden. Dies dient vor allem der rechtlichen Klarheit im Umgang mit Medienpartnern und Dritten.</w:t>
      </w:r>
    </w:p>
    <w:p w14:paraId="7DBD4A02" w14:textId="77777777" w:rsidR="005E7B4D" w:rsidRDefault="005E7B4D" w:rsidP="005E7B4D"/>
    <w:p w14:paraId="1D8750AA" w14:textId="77777777" w:rsidR="001E2EAD" w:rsidRDefault="001E2EAD"/>
    <w:sectPr w:rsidR="001E2EA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310"/>
    <w:multiLevelType w:val="multilevel"/>
    <w:tmpl w:val="3654A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87D54"/>
    <w:multiLevelType w:val="multilevel"/>
    <w:tmpl w:val="C408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D36558"/>
    <w:multiLevelType w:val="multilevel"/>
    <w:tmpl w:val="4C78F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7D0622"/>
    <w:multiLevelType w:val="multilevel"/>
    <w:tmpl w:val="FD565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FA7A28"/>
    <w:multiLevelType w:val="multilevel"/>
    <w:tmpl w:val="2D16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273D00"/>
    <w:multiLevelType w:val="multilevel"/>
    <w:tmpl w:val="EDC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BD752F"/>
    <w:multiLevelType w:val="multilevel"/>
    <w:tmpl w:val="32BCB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D1B44"/>
    <w:multiLevelType w:val="multilevel"/>
    <w:tmpl w:val="77D6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D95309"/>
    <w:multiLevelType w:val="multilevel"/>
    <w:tmpl w:val="734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13657D"/>
    <w:multiLevelType w:val="multilevel"/>
    <w:tmpl w:val="854C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AD3B0F"/>
    <w:multiLevelType w:val="multilevel"/>
    <w:tmpl w:val="CFBE3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108085">
    <w:abstractNumId w:val="6"/>
  </w:num>
  <w:num w:numId="2" w16cid:durableId="1951012697">
    <w:abstractNumId w:val="0"/>
  </w:num>
  <w:num w:numId="3" w16cid:durableId="670257561">
    <w:abstractNumId w:val="10"/>
  </w:num>
  <w:num w:numId="4" w16cid:durableId="790366901">
    <w:abstractNumId w:val="2"/>
  </w:num>
  <w:num w:numId="5" w16cid:durableId="5060344">
    <w:abstractNumId w:val="4"/>
  </w:num>
  <w:num w:numId="6" w16cid:durableId="541403900">
    <w:abstractNumId w:val="7"/>
  </w:num>
  <w:num w:numId="7" w16cid:durableId="615715280">
    <w:abstractNumId w:val="3"/>
  </w:num>
  <w:num w:numId="8" w16cid:durableId="540945916">
    <w:abstractNumId w:val="9"/>
  </w:num>
  <w:num w:numId="9" w16cid:durableId="1323582241">
    <w:abstractNumId w:val="8"/>
  </w:num>
  <w:num w:numId="10" w16cid:durableId="719522698">
    <w:abstractNumId w:val="1"/>
  </w:num>
  <w:num w:numId="11" w16cid:durableId="2116181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EAD"/>
    <w:rsid w:val="0000169E"/>
    <w:rsid w:val="000227F8"/>
    <w:rsid w:val="00061B5F"/>
    <w:rsid w:val="000F63BB"/>
    <w:rsid w:val="0015262E"/>
    <w:rsid w:val="001E2EAD"/>
    <w:rsid w:val="00280C05"/>
    <w:rsid w:val="00280DB7"/>
    <w:rsid w:val="002D0A6F"/>
    <w:rsid w:val="00454FE8"/>
    <w:rsid w:val="00487745"/>
    <w:rsid w:val="005C1DA5"/>
    <w:rsid w:val="005C7591"/>
    <w:rsid w:val="005E7B4D"/>
    <w:rsid w:val="008777FE"/>
    <w:rsid w:val="009968BB"/>
    <w:rsid w:val="00A010C0"/>
    <w:rsid w:val="00AA2347"/>
    <w:rsid w:val="00AE19CB"/>
    <w:rsid w:val="00AE447E"/>
    <w:rsid w:val="00B65C27"/>
    <w:rsid w:val="00B7799F"/>
    <w:rsid w:val="00C5539D"/>
    <w:rsid w:val="00C61B40"/>
    <w:rsid w:val="00CC3B35"/>
    <w:rsid w:val="00CD0B6E"/>
    <w:rsid w:val="00DB7A6E"/>
    <w:rsid w:val="00E32FC5"/>
    <w:rsid w:val="00F938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1937D"/>
  <w15:chartTrackingRefBased/>
  <w15:docId w15:val="{821C79EF-69F0-4C3A-AE9D-155ACE62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E2E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E2E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E2E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E2E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E2E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E2E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E2E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E2E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E2E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E2E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E2E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E2E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E2E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E2E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E2E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E2E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E2E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E2EAD"/>
    <w:rPr>
      <w:rFonts w:eastAsiaTheme="majorEastAsia" w:cstheme="majorBidi"/>
      <w:color w:val="272727" w:themeColor="text1" w:themeTint="D8"/>
    </w:rPr>
  </w:style>
  <w:style w:type="paragraph" w:styleId="Titel">
    <w:name w:val="Title"/>
    <w:basedOn w:val="Standard"/>
    <w:next w:val="Standard"/>
    <w:link w:val="TitelZchn"/>
    <w:uiPriority w:val="10"/>
    <w:qFormat/>
    <w:rsid w:val="001E2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E2E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E2E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E2E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E2E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E2EAD"/>
    <w:rPr>
      <w:i/>
      <w:iCs/>
      <w:color w:val="404040" w:themeColor="text1" w:themeTint="BF"/>
    </w:rPr>
  </w:style>
  <w:style w:type="paragraph" w:styleId="Listenabsatz">
    <w:name w:val="List Paragraph"/>
    <w:basedOn w:val="Standard"/>
    <w:uiPriority w:val="34"/>
    <w:qFormat/>
    <w:rsid w:val="001E2EAD"/>
    <w:pPr>
      <w:ind w:left="720"/>
      <w:contextualSpacing/>
    </w:pPr>
  </w:style>
  <w:style w:type="character" w:styleId="IntensiveHervorhebung">
    <w:name w:val="Intense Emphasis"/>
    <w:basedOn w:val="Absatz-Standardschriftart"/>
    <w:uiPriority w:val="21"/>
    <w:qFormat/>
    <w:rsid w:val="001E2EAD"/>
    <w:rPr>
      <w:i/>
      <w:iCs/>
      <w:color w:val="0F4761" w:themeColor="accent1" w:themeShade="BF"/>
    </w:rPr>
  </w:style>
  <w:style w:type="paragraph" w:styleId="IntensivesZitat">
    <w:name w:val="Intense Quote"/>
    <w:basedOn w:val="Standard"/>
    <w:next w:val="Standard"/>
    <w:link w:val="IntensivesZitatZchn"/>
    <w:uiPriority w:val="30"/>
    <w:qFormat/>
    <w:rsid w:val="001E2E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E2EAD"/>
    <w:rPr>
      <w:i/>
      <w:iCs/>
      <w:color w:val="0F4761" w:themeColor="accent1" w:themeShade="BF"/>
    </w:rPr>
  </w:style>
  <w:style w:type="character" w:styleId="IntensiverVerweis">
    <w:name w:val="Intense Reference"/>
    <w:basedOn w:val="Absatz-Standardschriftart"/>
    <w:uiPriority w:val="32"/>
    <w:qFormat/>
    <w:rsid w:val="001E2EAD"/>
    <w:rPr>
      <w:b/>
      <w:bCs/>
      <w:smallCaps/>
      <w:color w:val="0F4761" w:themeColor="accent1" w:themeShade="BF"/>
      <w:spacing w:val="5"/>
    </w:rPr>
  </w:style>
  <w:style w:type="paragraph" w:customStyle="1" w:styleId="Standard1">
    <w:name w:val="Standard1"/>
    <w:basedOn w:val="Standard"/>
    <w:pPr>
      <w:spacing w:line="276" w:lineRule="auto"/>
    </w:pPr>
    <w:rPr>
      <w:rFonts w:ascii="Aptos" w:hAnsi="Aptos" w:cs="Times New Roman"/>
      <w:lang w:eastAsia="de-DE"/>
    </w:rPr>
  </w:style>
  <w:style w:type="paragraph" w:customStyle="1" w:styleId="Standard2">
    <w:name w:val="Standard2"/>
    <w:basedOn w:val="Standard"/>
    <w:rsid w:val="0000169E"/>
    <w:pPr>
      <w:spacing w:line="276" w:lineRule="auto"/>
    </w:pPr>
    <w:rPr>
      <w:rFonts w:ascii="Aptos" w:hAnsi="Aptos"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4203</Characters>
  <Application>Microsoft Office Word</Application>
  <DocSecurity>0</DocSecurity>
  <Lines>35</Lines>
  <Paragraphs>9</Paragraphs>
  <ScaleCrop>false</ScaleCrop>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Bistrovic</dc:creator>
  <cp:keywords/>
  <dc:description/>
  <cp:lastModifiedBy>Miriam Bistrovic</cp:lastModifiedBy>
  <cp:revision>2</cp:revision>
  <dcterms:created xsi:type="dcterms:W3CDTF">2026-09-15T10:52:00Z</dcterms:created>
  <dcterms:modified xsi:type="dcterms:W3CDTF">2026-09-15T10:52:00Z</dcterms:modified>
</cp:coreProperties>
</file>